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960" w:type="dxa"/>
        <w:tblCellMar>
          <w:left w:w="70" w:type="dxa"/>
          <w:right w:w="70" w:type="dxa"/>
        </w:tblCellMar>
        <w:tblLook w:val="04A0" w:firstRow="1" w:lastRow="0" w:firstColumn="1" w:lastColumn="0" w:noHBand="0" w:noVBand="1"/>
      </w:tblPr>
      <w:tblGrid>
        <w:gridCol w:w="740"/>
        <w:gridCol w:w="740"/>
        <w:gridCol w:w="740"/>
        <w:gridCol w:w="740"/>
      </w:tblGrid>
      <w:tr w:rsidR="00AC658A" w:rsidRPr="00AC658A" w14:paraId="25A1F176" w14:textId="77777777" w:rsidTr="00AC658A">
        <w:trPr>
          <w:trHeight w:val="300"/>
        </w:trPr>
        <w:tc>
          <w:tcPr>
            <w:tcW w:w="740" w:type="dxa"/>
            <w:tcBorders>
              <w:top w:val="nil"/>
              <w:left w:val="nil"/>
              <w:bottom w:val="nil"/>
              <w:right w:val="nil"/>
            </w:tcBorders>
            <w:shd w:val="clear" w:color="auto" w:fill="auto"/>
            <w:noWrap/>
            <w:vAlign w:val="bottom"/>
            <w:hideMark/>
          </w:tcPr>
          <w:p w14:paraId="4BC41D89" w14:textId="77777777" w:rsidR="00AC658A" w:rsidRPr="00AC658A" w:rsidRDefault="00AC658A" w:rsidP="00AC658A">
            <w:pPr>
              <w:spacing w:after="0" w:line="240" w:lineRule="auto"/>
              <w:jc w:val="right"/>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14</w:t>
            </w:r>
          </w:p>
        </w:tc>
        <w:tc>
          <w:tcPr>
            <w:tcW w:w="740" w:type="dxa"/>
            <w:tcBorders>
              <w:top w:val="nil"/>
              <w:left w:val="nil"/>
              <w:bottom w:val="nil"/>
              <w:right w:val="nil"/>
            </w:tcBorders>
            <w:shd w:val="clear" w:color="auto" w:fill="auto"/>
            <w:noWrap/>
            <w:vAlign w:val="bottom"/>
            <w:hideMark/>
          </w:tcPr>
          <w:p w14:paraId="3DADEAE9"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ŽP</w:t>
            </w:r>
          </w:p>
        </w:tc>
        <w:tc>
          <w:tcPr>
            <w:tcW w:w="740" w:type="dxa"/>
            <w:tcBorders>
              <w:top w:val="nil"/>
              <w:left w:val="nil"/>
              <w:bottom w:val="nil"/>
              <w:right w:val="nil"/>
            </w:tcBorders>
            <w:shd w:val="clear" w:color="auto" w:fill="auto"/>
            <w:noWrap/>
            <w:vAlign w:val="bottom"/>
            <w:hideMark/>
          </w:tcPr>
          <w:p w14:paraId="5419B3D3"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791494EB"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4C0E87B9" w14:textId="77777777" w:rsidTr="00AC658A">
        <w:trPr>
          <w:trHeight w:val="300"/>
        </w:trPr>
        <w:tc>
          <w:tcPr>
            <w:tcW w:w="740" w:type="dxa"/>
            <w:tcBorders>
              <w:top w:val="single" w:sz="8" w:space="0" w:color="auto"/>
              <w:left w:val="single" w:sz="8" w:space="0" w:color="auto"/>
              <w:bottom w:val="nil"/>
              <w:right w:val="nil"/>
            </w:tcBorders>
            <w:shd w:val="clear" w:color="auto" w:fill="auto"/>
            <w:noWrap/>
            <w:vAlign w:val="bottom"/>
            <w:hideMark/>
          </w:tcPr>
          <w:p w14:paraId="50B8F988"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single" w:sz="8" w:space="0" w:color="auto"/>
              <w:left w:val="nil"/>
              <w:bottom w:val="nil"/>
              <w:right w:val="nil"/>
            </w:tcBorders>
            <w:shd w:val="clear" w:color="auto" w:fill="auto"/>
            <w:noWrap/>
            <w:vAlign w:val="bottom"/>
            <w:hideMark/>
          </w:tcPr>
          <w:p w14:paraId="6349C30D"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single" w:sz="8" w:space="0" w:color="auto"/>
              <w:left w:val="nil"/>
              <w:bottom w:val="nil"/>
              <w:right w:val="nil"/>
            </w:tcBorders>
            <w:shd w:val="clear" w:color="auto" w:fill="auto"/>
            <w:noWrap/>
            <w:vAlign w:val="bottom"/>
            <w:hideMark/>
          </w:tcPr>
          <w:p w14:paraId="1FCCB21A"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single" w:sz="8" w:space="0" w:color="auto"/>
              <w:left w:val="nil"/>
              <w:bottom w:val="nil"/>
              <w:right w:val="nil"/>
            </w:tcBorders>
            <w:shd w:val="clear" w:color="auto" w:fill="auto"/>
            <w:noWrap/>
            <w:vAlign w:val="bottom"/>
            <w:hideMark/>
          </w:tcPr>
          <w:p w14:paraId="0AD943E6"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r>
      <w:tr w:rsidR="00AC658A" w:rsidRPr="00AC658A" w14:paraId="5614134D" w14:textId="77777777" w:rsidTr="00AC658A">
        <w:trPr>
          <w:trHeight w:val="290"/>
        </w:trPr>
        <w:tc>
          <w:tcPr>
            <w:tcW w:w="740" w:type="dxa"/>
            <w:tcBorders>
              <w:top w:val="nil"/>
              <w:left w:val="single" w:sz="8" w:space="0" w:color="auto"/>
              <w:bottom w:val="nil"/>
              <w:right w:val="nil"/>
            </w:tcBorders>
            <w:shd w:val="clear" w:color="auto" w:fill="auto"/>
            <w:noWrap/>
            <w:vAlign w:val="bottom"/>
            <w:hideMark/>
          </w:tcPr>
          <w:p w14:paraId="6479B4BF"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2C17FCD9"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2F4BD52B"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nil"/>
            </w:tcBorders>
            <w:shd w:val="clear" w:color="auto" w:fill="auto"/>
            <w:noWrap/>
            <w:vAlign w:val="bottom"/>
            <w:hideMark/>
          </w:tcPr>
          <w:p w14:paraId="0B3D9F47"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693D8417" w14:textId="77777777" w:rsidTr="00AC658A">
        <w:trPr>
          <w:trHeight w:val="290"/>
        </w:trPr>
        <w:tc>
          <w:tcPr>
            <w:tcW w:w="740" w:type="dxa"/>
            <w:tcBorders>
              <w:top w:val="nil"/>
              <w:left w:val="single" w:sz="8" w:space="0" w:color="auto"/>
              <w:bottom w:val="nil"/>
              <w:right w:val="nil"/>
            </w:tcBorders>
            <w:shd w:val="clear" w:color="auto" w:fill="auto"/>
            <w:noWrap/>
            <w:vAlign w:val="bottom"/>
            <w:hideMark/>
          </w:tcPr>
          <w:p w14:paraId="5B3546C4"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2220" w:type="dxa"/>
            <w:gridSpan w:val="3"/>
            <w:tcBorders>
              <w:top w:val="nil"/>
              <w:left w:val="nil"/>
              <w:bottom w:val="nil"/>
              <w:right w:val="nil"/>
            </w:tcBorders>
            <w:shd w:val="clear" w:color="auto" w:fill="auto"/>
            <w:noWrap/>
            <w:vAlign w:val="bottom"/>
            <w:hideMark/>
          </w:tcPr>
          <w:p w14:paraId="25E8A638"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stop sečení srnčat</w:t>
            </w:r>
          </w:p>
        </w:tc>
      </w:tr>
      <w:tr w:rsidR="00AC658A" w:rsidRPr="00AC658A" w14:paraId="185D7084" w14:textId="77777777" w:rsidTr="00156D16">
        <w:trPr>
          <w:trHeight w:val="290"/>
        </w:trPr>
        <w:tc>
          <w:tcPr>
            <w:tcW w:w="740" w:type="dxa"/>
            <w:tcBorders>
              <w:top w:val="nil"/>
              <w:left w:val="single" w:sz="8" w:space="0" w:color="auto"/>
              <w:bottom w:val="nil"/>
              <w:right w:val="nil"/>
            </w:tcBorders>
            <w:shd w:val="clear" w:color="auto" w:fill="auto"/>
            <w:noWrap/>
            <w:vAlign w:val="bottom"/>
            <w:hideMark/>
          </w:tcPr>
          <w:p w14:paraId="780146B6"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tcPr>
          <w:p w14:paraId="6402A495" w14:textId="11D14466" w:rsidR="00AC658A" w:rsidRPr="00AC658A" w:rsidRDefault="00AC658A" w:rsidP="00AC658A">
            <w:pPr>
              <w:spacing w:after="0" w:line="240" w:lineRule="auto"/>
              <w:rPr>
                <w:rFonts w:ascii="Calibri" w:eastAsia="Times New Roman" w:hAnsi="Calibri" w:cs="Calibri"/>
                <w:color w:val="000000"/>
                <w:kern w:val="0"/>
                <w:lang w:eastAsia="cs-CZ"/>
                <w14:ligatures w14:val="none"/>
              </w:rPr>
            </w:pPr>
            <w:bookmarkStart w:id="0" w:name="_GoBack"/>
            <w:bookmarkEnd w:id="0"/>
          </w:p>
        </w:tc>
        <w:tc>
          <w:tcPr>
            <w:tcW w:w="740" w:type="dxa"/>
            <w:tcBorders>
              <w:top w:val="nil"/>
              <w:left w:val="nil"/>
              <w:bottom w:val="nil"/>
              <w:right w:val="nil"/>
            </w:tcBorders>
            <w:shd w:val="clear" w:color="auto" w:fill="auto"/>
            <w:noWrap/>
            <w:vAlign w:val="bottom"/>
          </w:tcPr>
          <w:p w14:paraId="5470DAB1"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0882AE17"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17072C70" w14:textId="77777777" w:rsidTr="00156D16">
        <w:trPr>
          <w:trHeight w:val="290"/>
        </w:trPr>
        <w:tc>
          <w:tcPr>
            <w:tcW w:w="740" w:type="dxa"/>
            <w:tcBorders>
              <w:top w:val="nil"/>
              <w:left w:val="single" w:sz="8" w:space="0" w:color="auto"/>
              <w:bottom w:val="nil"/>
              <w:right w:val="nil"/>
            </w:tcBorders>
            <w:shd w:val="clear" w:color="auto" w:fill="auto"/>
            <w:noWrap/>
            <w:vAlign w:val="bottom"/>
            <w:hideMark/>
          </w:tcPr>
          <w:p w14:paraId="53B2285B"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1480" w:type="dxa"/>
            <w:gridSpan w:val="2"/>
            <w:tcBorders>
              <w:top w:val="nil"/>
              <w:left w:val="nil"/>
              <w:bottom w:val="nil"/>
              <w:right w:val="nil"/>
            </w:tcBorders>
            <w:shd w:val="clear" w:color="auto" w:fill="auto"/>
            <w:noWrap/>
            <w:vAlign w:val="bottom"/>
          </w:tcPr>
          <w:p w14:paraId="74C311EF" w14:textId="2439AB70"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7A93E6B8"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r>
      <w:tr w:rsidR="00AC658A" w:rsidRPr="00AC658A" w14:paraId="05BE4DCA" w14:textId="77777777" w:rsidTr="00156D16">
        <w:trPr>
          <w:trHeight w:val="290"/>
        </w:trPr>
        <w:tc>
          <w:tcPr>
            <w:tcW w:w="740" w:type="dxa"/>
            <w:tcBorders>
              <w:top w:val="nil"/>
              <w:left w:val="single" w:sz="8" w:space="0" w:color="auto"/>
              <w:bottom w:val="nil"/>
              <w:right w:val="nil"/>
            </w:tcBorders>
            <w:shd w:val="clear" w:color="auto" w:fill="auto"/>
            <w:noWrap/>
            <w:vAlign w:val="bottom"/>
            <w:hideMark/>
          </w:tcPr>
          <w:p w14:paraId="09408774"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1480" w:type="dxa"/>
            <w:gridSpan w:val="2"/>
            <w:tcBorders>
              <w:top w:val="nil"/>
              <w:left w:val="nil"/>
              <w:bottom w:val="nil"/>
              <w:right w:val="nil"/>
            </w:tcBorders>
            <w:shd w:val="clear" w:color="auto" w:fill="auto"/>
            <w:noWrap/>
            <w:vAlign w:val="bottom"/>
          </w:tcPr>
          <w:p w14:paraId="0B991A8D" w14:textId="5372ABDF"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0B9C498D"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r>
      <w:tr w:rsidR="00AC658A" w:rsidRPr="00AC658A" w14:paraId="4827B987" w14:textId="77777777" w:rsidTr="00AC658A">
        <w:trPr>
          <w:trHeight w:val="290"/>
        </w:trPr>
        <w:tc>
          <w:tcPr>
            <w:tcW w:w="740" w:type="dxa"/>
            <w:tcBorders>
              <w:top w:val="nil"/>
              <w:left w:val="single" w:sz="8" w:space="0" w:color="auto"/>
              <w:bottom w:val="nil"/>
              <w:right w:val="nil"/>
            </w:tcBorders>
            <w:shd w:val="clear" w:color="auto" w:fill="auto"/>
            <w:noWrap/>
            <w:vAlign w:val="bottom"/>
            <w:hideMark/>
          </w:tcPr>
          <w:p w14:paraId="70BAEE42"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4E535CCD"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6F1C0401"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nil"/>
            </w:tcBorders>
            <w:shd w:val="clear" w:color="auto" w:fill="auto"/>
            <w:noWrap/>
            <w:vAlign w:val="bottom"/>
            <w:hideMark/>
          </w:tcPr>
          <w:p w14:paraId="20D28AE8"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6C2A9602" w14:textId="77777777" w:rsidTr="00AC658A">
        <w:trPr>
          <w:trHeight w:val="290"/>
        </w:trPr>
        <w:tc>
          <w:tcPr>
            <w:tcW w:w="740" w:type="dxa"/>
            <w:tcBorders>
              <w:top w:val="nil"/>
              <w:left w:val="single" w:sz="8" w:space="0" w:color="auto"/>
              <w:bottom w:val="nil"/>
              <w:right w:val="nil"/>
            </w:tcBorders>
            <w:shd w:val="clear" w:color="auto" w:fill="auto"/>
            <w:noWrap/>
            <w:vAlign w:val="bottom"/>
            <w:hideMark/>
          </w:tcPr>
          <w:p w14:paraId="37054251"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5FCDE1D5"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785DA25C"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nil"/>
            </w:tcBorders>
            <w:shd w:val="clear" w:color="auto" w:fill="auto"/>
            <w:noWrap/>
            <w:vAlign w:val="bottom"/>
            <w:hideMark/>
          </w:tcPr>
          <w:p w14:paraId="3B2A9889"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410ECF53" w14:textId="77777777" w:rsidTr="00AC658A">
        <w:trPr>
          <w:trHeight w:val="290"/>
        </w:trPr>
        <w:tc>
          <w:tcPr>
            <w:tcW w:w="740" w:type="dxa"/>
            <w:tcBorders>
              <w:top w:val="nil"/>
              <w:left w:val="single" w:sz="8" w:space="0" w:color="auto"/>
              <w:bottom w:val="nil"/>
              <w:right w:val="nil"/>
            </w:tcBorders>
            <w:shd w:val="clear" w:color="auto" w:fill="auto"/>
            <w:noWrap/>
            <w:vAlign w:val="bottom"/>
            <w:hideMark/>
          </w:tcPr>
          <w:p w14:paraId="38C9CD8D"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30DF79C2"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084ED1A9"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nil"/>
            </w:tcBorders>
            <w:shd w:val="clear" w:color="auto" w:fill="auto"/>
            <w:noWrap/>
            <w:vAlign w:val="bottom"/>
            <w:hideMark/>
          </w:tcPr>
          <w:p w14:paraId="52CDED20"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16314EE8" w14:textId="77777777" w:rsidTr="00AC658A">
        <w:trPr>
          <w:trHeight w:val="290"/>
        </w:trPr>
        <w:tc>
          <w:tcPr>
            <w:tcW w:w="740" w:type="dxa"/>
            <w:tcBorders>
              <w:top w:val="nil"/>
              <w:left w:val="single" w:sz="8" w:space="0" w:color="auto"/>
              <w:bottom w:val="nil"/>
              <w:right w:val="nil"/>
            </w:tcBorders>
            <w:shd w:val="clear" w:color="auto" w:fill="auto"/>
            <w:noWrap/>
            <w:vAlign w:val="bottom"/>
            <w:hideMark/>
          </w:tcPr>
          <w:p w14:paraId="70346FCD"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26B204B5"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166B69B3"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nil"/>
            </w:tcBorders>
            <w:shd w:val="clear" w:color="auto" w:fill="auto"/>
            <w:noWrap/>
            <w:vAlign w:val="bottom"/>
            <w:hideMark/>
          </w:tcPr>
          <w:p w14:paraId="31C2B89E"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2AA95CC4" w14:textId="77777777" w:rsidTr="00AC658A">
        <w:trPr>
          <w:trHeight w:val="290"/>
        </w:trPr>
        <w:tc>
          <w:tcPr>
            <w:tcW w:w="740" w:type="dxa"/>
            <w:tcBorders>
              <w:top w:val="nil"/>
              <w:left w:val="single" w:sz="8" w:space="0" w:color="auto"/>
              <w:bottom w:val="nil"/>
              <w:right w:val="nil"/>
            </w:tcBorders>
            <w:shd w:val="clear" w:color="auto" w:fill="auto"/>
            <w:noWrap/>
            <w:vAlign w:val="bottom"/>
            <w:hideMark/>
          </w:tcPr>
          <w:p w14:paraId="7CACD506"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0D75309B"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63D673A9"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nil"/>
            </w:tcBorders>
            <w:shd w:val="clear" w:color="auto" w:fill="auto"/>
            <w:noWrap/>
            <w:vAlign w:val="bottom"/>
            <w:hideMark/>
          </w:tcPr>
          <w:p w14:paraId="352013EE" w14:textId="77777777" w:rsidR="00AC658A" w:rsidRPr="00AC658A" w:rsidRDefault="00AC658A" w:rsidP="00AC658A">
            <w:pPr>
              <w:spacing w:after="0" w:line="240" w:lineRule="auto"/>
              <w:rPr>
                <w:rFonts w:ascii="Times New Roman" w:eastAsia="Times New Roman" w:hAnsi="Times New Roman" w:cs="Times New Roman"/>
                <w:kern w:val="0"/>
                <w:sz w:val="20"/>
                <w:szCs w:val="20"/>
                <w:lang w:eastAsia="cs-CZ"/>
                <w14:ligatures w14:val="none"/>
              </w:rPr>
            </w:pPr>
          </w:p>
        </w:tc>
      </w:tr>
      <w:tr w:rsidR="00AC658A" w:rsidRPr="00AC658A" w14:paraId="64D82370" w14:textId="77777777" w:rsidTr="00AC658A">
        <w:trPr>
          <w:trHeight w:val="300"/>
        </w:trPr>
        <w:tc>
          <w:tcPr>
            <w:tcW w:w="740" w:type="dxa"/>
            <w:tcBorders>
              <w:top w:val="nil"/>
              <w:left w:val="single" w:sz="8" w:space="0" w:color="auto"/>
              <w:bottom w:val="single" w:sz="8" w:space="0" w:color="auto"/>
              <w:right w:val="nil"/>
            </w:tcBorders>
            <w:shd w:val="clear" w:color="auto" w:fill="auto"/>
            <w:noWrap/>
            <w:vAlign w:val="bottom"/>
            <w:hideMark/>
          </w:tcPr>
          <w:p w14:paraId="3E5893BC"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single" w:sz="8" w:space="0" w:color="auto"/>
              <w:right w:val="nil"/>
            </w:tcBorders>
            <w:shd w:val="clear" w:color="auto" w:fill="auto"/>
            <w:noWrap/>
            <w:vAlign w:val="bottom"/>
            <w:hideMark/>
          </w:tcPr>
          <w:p w14:paraId="6728668A"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single" w:sz="8" w:space="0" w:color="auto"/>
              <w:right w:val="nil"/>
            </w:tcBorders>
            <w:shd w:val="clear" w:color="auto" w:fill="auto"/>
            <w:noWrap/>
            <w:vAlign w:val="bottom"/>
            <w:hideMark/>
          </w:tcPr>
          <w:p w14:paraId="13F2B4C5"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c>
          <w:tcPr>
            <w:tcW w:w="740" w:type="dxa"/>
            <w:tcBorders>
              <w:top w:val="nil"/>
              <w:left w:val="nil"/>
              <w:bottom w:val="single" w:sz="8" w:space="0" w:color="auto"/>
              <w:right w:val="nil"/>
            </w:tcBorders>
            <w:shd w:val="clear" w:color="auto" w:fill="auto"/>
            <w:noWrap/>
            <w:vAlign w:val="bottom"/>
            <w:hideMark/>
          </w:tcPr>
          <w:p w14:paraId="610DADF9" w14:textId="77777777" w:rsidR="00AC658A" w:rsidRPr="00AC658A" w:rsidRDefault="00AC658A" w:rsidP="00AC658A">
            <w:pPr>
              <w:spacing w:after="0" w:line="240" w:lineRule="auto"/>
              <w:rPr>
                <w:rFonts w:ascii="Calibri" w:eastAsia="Times New Roman" w:hAnsi="Calibri" w:cs="Calibri"/>
                <w:color w:val="000000"/>
                <w:kern w:val="0"/>
                <w:lang w:eastAsia="cs-CZ"/>
                <w14:ligatures w14:val="none"/>
              </w:rPr>
            </w:pPr>
            <w:r w:rsidRPr="00AC658A">
              <w:rPr>
                <w:rFonts w:ascii="Calibri" w:eastAsia="Times New Roman" w:hAnsi="Calibri" w:cs="Calibri"/>
                <w:color w:val="000000"/>
                <w:kern w:val="0"/>
                <w:lang w:eastAsia="cs-CZ"/>
                <w14:ligatures w14:val="none"/>
              </w:rPr>
              <w:t> </w:t>
            </w:r>
          </w:p>
        </w:tc>
      </w:tr>
    </w:tbl>
    <w:p w14:paraId="246C8D8E" w14:textId="77777777" w:rsidR="0053138F" w:rsidRDefault="0053138F"/>
    <w:p w14:paraId="1E0C775D" w14:textId="79544E95" w:rsidR="00B80204" w:rsidRDefault="00B80204" w:rsidP="00B80204">
      <w:pPr>
        <w:pStyle w:val="Nadpis1"/>
      </w:pPr>
      <w:r>
        <w:t>Kraj pomáhá chránit srnčata</w:t>
      </w:r>
    </w:p>
    <w:p w14:paraId="05FA9540" w14:textId="42E3875E" w:rsidR="00837FC1" w:rsidRPr="00B80204" w:rsidRDefault="00B80204" w:rsidP="00B80204">
      <w:pPr>
        <w:jc w:val="both"/>
      </w:pPr>
      <w:r>
        <w:t xml:space="preserve">Stejně jako loni bude i letos </w:t>
      </w:r>
      <w:r w:rsidR="00837FC1" w:rsidRPr="00B80204">
        <w:t>Plzeňský kraj</w:t>
      </w:r>
      <w:r>
        <w:t xml:space="preserve"> podporovat </w:t>
      </w:r>
      <w:r w:rsidR="00837FC1" w:rsidRPr="00B80204">
        <w:t xml:space="preserve">činnost spolku Stop sečení srnčat – </w:t>
      </w:r>
      <w:proofErr w:type="gramStart"/>
      <w:r w:rsidR="00837FC1" w:rsidRPr="00B80204">
        <w:t>Plzeňsko, z.s.</w:t>
      </w:r>
      <w:proofErr w:type="gramEnd"/>
      <w:r w:rsidR="00837FC1" w:rsidRPr="00B80204">
        <w:t xml:space="preserve">  Jeho hlavní činností je záchrana srnčat během senoseče, která probíhá od konce dubna zhruba do poloviny července. To je bohužel přesně ta doba, kdy zejména srny kladou mláďata na loukách ve vysoké trávě, aby je ochránila. Instinkt srnčatům velí přikrčit se v případě hrozícího nebezpečí v travním porostu a být neviditelná. Je to strategie, která velice dobře funguje před predátory, avšak neobstojí před moderní zemědělskou technikou. Ani starší srnčata nemají před sekačkami šanci, stroje jsou rychlé a z kabiny traktoru má řidič minimální šanci zahlédnout mládě, které popoběhne často jen pár desítek metrů a znovu se schová v trávě. Podle odhadů ročně zemědělská technika usmrtí přes 60 tisíc srnčat, a nejen jich, krutá smrt se týká i dalších, často chráněných druhů. Plzeňský kraj spolek v roce 2024 podpořil částkou 20</w:t>
      </w:r>
      <w:r>
        <w:t xml:space="preserve"> </w:t>
      </w:r>
      <w:r w:rsidR="00837FC1" w:rsidRPr="00B80204">
        <w:t>000 Kč, v letošním roce hodlá tuto podporu navýšit na 100</w:t>
      </w:r>
      <w:r>
        <w:t xml:space="preserve"> </w:t>
      </w:r>
      <w:r w:rsidR="00837FC1" w:rsidRPr="00B80204">
        <w:t>000 Kč.</w:t>
      </w:r>
    </w:p>
    <w:p w14:paraId="793C6B93" w14:textId="25B90597" w:rsidR="00837FC1" w:rsidRPr="00B80204" w:rsidRDefault="00837FC1" w:rsidP="00B80204">
      <w:pPr>
        <w:jc w:val="both"/>
      </w:pPr>
      <w:r w:rsidRPr="00B80204">
        <w:t xml:space="preserve">Spolek Stop sečení srnčat – </w:t>
      </w:r>
      <w:proofErr w:type="gramStart"/>
      <w:r w:rsidRPr="00B80204">
        <w:t>Plzeňsko, z.s,  a s ním</w:t>
      </w:r>
      <w:proofErr w:type="gramEnd"/>
      <w:r w:rsidRPr="00B80204">
        <w:t xml:space="preserve"> spolupracující dobrovolníci se snaží vyhledávat schovaná mláďata v travních porostech těsně před senosečí a v jejím průběhu pomocí </w:t>
      </w:r>
      <w:proofErr w:type="spellStart"/>
      <w:r w:rsidRPr="00B80204">
        <w:t>dronů</w:t>
      </w:r>
      <w:proofErr w:type="spellEnd"/>
      <w:r w:rsidRPr="00B80204">
        <w:t xml:space="preserve"> s </w:t>
      </w:r>
      <w:proofErr w:type="spellStart"/>
      <w:r w:rsidRPr="00B80204">
        <w:t>termokamerou</w:t>
      </w:r>
      <w:proofErr w:type="spellEnd"/>
      <w:r w:rsidRPr="00B80204">
        <w:t xml:space="preserve">. V den sečení od velmi brzkých ranních hodin, tedy zpravidla před </w:t>
      </w:r>
      <w:r w:rsidR="00B80204">
        <w:t>pátou</w:t>
      </w:r>
      <w:r w:rsidRPr="00B80204">
        <w:t xml:space="preserve"> hodinou ranní, prohledávají dobrovolníci plochy určené ten den k sečení. Bez </w:t>
      </w:r>
      <w:proofErr w:type="spellStart"/>
      <w:r w:rsidRPr="00B80204">
        <w:t>dronů</w:t>
      </w:r>
      <w:proofErr w:type="spellEnd"/>
      <w:r w:rsidRPr="00B80204">
        <w:t xml:space="preserve"> s </w:t>
      </w:r>
      <w:proofErr w:type="spellStart"/>
      <w:r w:rsidRPr="00B80204">
        <w:t>termokamerou</w:t>
      </w:r>
      <w:proofErr w:type="spellEnd"/>
      <w:r w:rsidRPr="00B80204">
        <w:t xml:space="preserve"> je však minimální šance mláďata schovaná v hustém porostu objevit. Když operátor </w:t>
      </w:r>
      <w:proofErr w:type="spellStart"/>
      <w:r w:rsidRPr="00B80204">
        <w:t>dronu</w:t>
      </w:r>
      <w:proofErr w:type="spellEnd"/>
      <w:r w:rsidRPr="00B80204">
        <w:t xml:space="preserve"> srnče nebo jiné zvíře objeví, dobrovolníci ho odchytí, umístí do přepravního boxu a schovají na bezpečné místo. Tam v bezpečí, chládku a mimo hlučná místa, přečkají do posečení plochy a poté je dobrovolníci vrátí zpět na místo nálezu. Srna zpravidla vše z bezpečné vzdálenosti sleduje, potomka si po uklidnění situace najde a odvede. Manipulace má svá jasná pravidla, dobrovolníci jsou pečlivě proškoleni a manipulaci s mláďaty provádí případně s podporou zkušenějších kolegů.</w:t>
      </w:r>
    </w:p>
    <w:p w14:paraId="1DF7D081" w14:textId="77777777" w:rsidR="00837FC1" w:rsidRPr="00B80204" w:rsidRDefault="00837FC1" w:rsidP="00B80204">
      <w:pPr>
        <w:jc w:val="both"/>
      </w:pPr>
      <w:r w:rsidRPr="00B80204">
        <w:t xml:space="preserve">Klíčová pro úspěch celé akce je vždy spolupráce se zemědělci a myslivci. Někteří zemědělci  bohužel neohlašují myslivcům termíny sečí, ačkoliv je to jejich povinnost ze zákona. Často opomíjejí i povinnost sečení louky od středu ke kraji, aby tak zmenšovali riziko postupné koncentrace zvířat v sečené ploše. Ani myslivci ochranu mláďat často dostatečně neřeší. Přitom jejich znalost lokality, biologie druhů a poskytnutí dobrovolníků bývá často velkou pomocí při hledání mláďat. Právě myslivcům a zemědělcům spolek poskytuje pomoc, ať už s radami spojenými s nákupem </w:t>
      </w:r>
      <w:proofErr w:type="spellStart"/>
      <w:r w:rsidRPr="00B80204">
        <w:t>dronu</w:t>
      </w:r>
      <w:proofErr w:type="spellEnd"/>
      <w:r w:rsidRPr="00B80204">
        <w:t>, pilotním výcvikem, nebo „zapůjčením“ pilota s </w:t>
      </w:r>
      <w:proofErr w:type="spellStart"/>
      <w:r w:rsidRPr="00B80204">
        <w:t>dronem</w:t>
      </w:r>
      <w:proofErr w:type="spellEnd"/>
      <w:r w:rsidRPr="00B80204">
        <w:t>.</w:t>
      </w:r>
    </w:p>
    <w:p w14:paraId="4706A022" w14:textId="77777777" w:rsidR="00837FC1" w:rsidRPr="00B80204" w:rsidRDefault="00837FC1" w:rsidP="00B80204">
      <w:pPr>
        <w:jc w:val="both"/>
      </w:pPr>
      <w:r w:rsidRPr="00B80204">
        <w:t xml:space="preserve">Pro členy spolku a s nimi spolupracující dobrovolníky se jedná o velmi fyzicky a časově náročnou činnost, kterou provádějí výhradně ve svém volném čase. Proto jakákoliv podpora </w:t>
      </w:r>
      <w:r w:rsidRPr="00B80204">
        <w:lastRenderedPageBreak/>
        <w:t xml:space="preserve">ze strany státu, samospráv či veřejnosti, ať už poskytnutím lidské síly, nebo příspěvku na koupi </w:t>
      </w:r>
      <w:proofErr w:type="spellStart"/>
      <w:r w:rsidRPr="00B80204">
        <w:t>dronů</w:t>
      </w:r>
      <w:proofErr w:type="spellEnd"/>
      <w:r w:rsidRPr="00B80204">
        <w:t>, je velice vítaná a umožňuje spolku svoji pomoc postupně rozšiřovat na větší území Plzeňského kraje.</w:t>
      </w:r>
    </w:p>
    <w:p w14:paraId="313CD66B" w14:textId="77777777" w:rsidR="00837FC1" w:rsidRPr="00B80204" w:rsidRDefault="00837FC1" w:rsidP="00B80204">
      <w:pPr>
        <w:jc w:val="both"/>
      </w:pPr>
    </w:p>
    <w:sectPr w:rsidR="00837FC1" w:rsidRPr="00B802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8A"/>
    <w:rsid w:val="00156D16"/>
    <w:rsid w:val="004C4032"/>
    <w:rsid w:val="005249A7"/>
    <w:rsid w:val="0053138F"/>
    <w:rsid w:val="00837FC1"/>
    <w:rsid w:val="00AC658A"/>
    <w:rsid w:val="00B80204"/>
    <w:rsid w:val="00D211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15CC"/>
  <w15:chartTrackingRefBased/>
  <w15:docId w15:val="{289F3FDF-9629-48BD-8931-5D9264063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AC65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C65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C658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C658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C658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C658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C658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C658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C658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C658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C658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C658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C658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C658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C658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C658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C658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C658A"/>
    <w:rPr>
      <w:rFonts w:eastAsiaTheme="majorEastAsia" w:cstheme="majorBidi"/>
      <w:color w:val="272727" w:themeColor="text1" w:themeTint="D8"/>
    </w:rPr>
  </w:style>
  <w:style w:type="paragraph" w:styleId="Nzev">
    <w:name w:val="Title"/>
    <w:basedOn w:val="Normln"/>
    <w:next w:val="Normln"/>
    <w:link w:val="NzevChar"/>
    <w:uiPriority w:val="10"/>
    <w:qFormat/>
    <w:rsid w:val="00AC65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C658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C658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C658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C658A"/>
    <w:pPr>
      <w:spacing w:before="160"/>
      <w:jc w:val="center"/>
    </w:pPr>
    <w:rPr>
      <w:i/>
      <w:iCs/>
      <w:color w:val="404040" w:themeColor="text1" w:themeTint="BF"/>
    </w:rPr>
  </w:style>
  <w:style w:type="character" w:customStyle="1" w:styleId="CittChar">
    <w:name w:val="Citát Char"/>
    <w:basedOn w:val="Standardnpsmoodstavce"/>
    <w:link w:val="Citt"/>
    <w:uiPriority w:val="29"/>
    <w:rsid w:val="00AC658A"/>
    <w:rPr>
      <w:i/>
      <w:iCs/>
      <w:color w:val="404040" w:themeColor="text1" w:themeTint="BF"/>
    </w:rPr>
  </w:style>
  <w:style w:type="paragraph" w:styleId="Odstavecseseznamem">
    <w:name w:val="List Paragraph"/>
    <w:basedOn w:val="Normln"/>
    <w:uiPriority w:val="34"/>
    <w:qFormat/>
    <w:rsid w:val="00AC658A"/>
    <w:pPr>
      <w:ind w:left="720"/>
      <w:contextualSpacing/>
    </w:pPr>
  </w:style>
  <w:style w:type="character" w:styleId="Zdraznnintenzivn">
    <w:name w:val="Intense Emphasis"/>
    <w:basedOn w:val="Standardnpsmoodstavce"/>
    <w:uiPriority w:val="21"/>
    <w:qFormat/>
    <w:rsid w:val="00AC658A"/>
    <w:rPr>
      <w:i/>
      <w:iCs/>
      <w:color w:val="0F4761" w:themeColor="accent1" w:themeShade="BF"/>
    </w:rPr>
  </w:style>
  <w:style w:type="paragraph" w:styleId="Vrazncitt">
    <w:name w:val="Intense Quote"/>
    <w:basedOn w:val="Normln"/>
    <w:next w:val="Normln"/>
    <w:link w:val="VrazncittChar"/>
    <w:uiPriority w:val="30"/>
    <w:qFormat/>
    <w:rsid w:val="00AC65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C658A"/>
    <w:rPr>
      <w:i/>
      <w:iCs/>
      <w:color w:val="0F4761" w:themeColor="accent1" w:themeShade="BF"/>
    </w:rPr>
  </w:style>
  <w:style w:type="character" w:styleId="Odkazintenzivn">
    <w:name w:val="Intense Reference"/>
    <w:basedOn w:val="Standardnpsmoodstavce"/>
    <w:uiPriority w:val="32"/>
    <w:qFormat/>
    <w:rsid w:val="00AC658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78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445</Words>
  <Characters>2632</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 Čekanová</dc:creator>
  <cp:keywords/>
  <dc:description/>
  <cp:lastModifiedBy>Remenárová Karolina</cp:lastModifiedBy>
  <cp:revision>4</cp:revision>
  <dcterms:created xsi:type="dcterms:W3CDTF">2025-02-18T07:04:00Z</dcterms:created>
  <dcterms:modified xsi:type="dcterms:W3CDTF">2025-10-01T06:51:00Z</dcterms:modified>
</cp:coreProperties>
</file>